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jc w:val="right"/>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Allegato “A”</w:t>
      </w:r>
    </w:p>
    <w:p>
      <w:pPr>
        <w:pStyle w:val="Normal"/>
        <w:jc w:val="right"/>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p>
      <w:pPr>
        <w:pStyle w:val="Normal"/>
        <w:jc w:val="both"/>
        <w:rPr>
          <w:rFonts w:ascii="Times New Roman" w:hAnsi="Times New Roman" w:eastAsia="Times New Roman" w:cs="Times New Roman"/>
          <w:b/>
          <w:b/>
          <w:caps/>
          <w:sz w:val="24"/>
          <w:szCs w:val="24"/>
          <w:lang w:eastAsia="it-IT"/>
        </w:rPr>
      </w:pPr>
      <w:r>
        <w:rPr>
          <w:rFonts w:eastAsia="Times New Roman" w:cs="Times New Roman" w:ascii="Times New Roman" w:hAnsi="Times New Roman"/>
          <w:b/>
          <w:caps/>
          <w:sz w:val="24"/>
          <w:szCs w:val="24"/>
          <w:lang w:eastAsia="it-IT"/>
        </w:rPr>
        <w:t xml:space="preserve">DGR n. 181/2019 - “L.R. 25/2014, Art. 11 - Contributi alle famiglie con persone con disturbi dello spettro autistico - Anno 2019”- Tempi </w:t>
        <w:br/>
        <w:t xml:space="preserve">e modalità per la presentazione delle domande e della rendicontazione.             </w:t>
      </w:r>
    </w:p>
    <w:p>
      <w:pPr>
        <w:pStyle w:val="Normal"/>
        <w:tabs>
          <w:tab w:val="clear" w:pos="708"/>
          <w:tab w:val="left" w:pos="227" w:leader="none"/>
        </w:tabs>
        <w:spacing w:lineRule="atLeast" w:line="210"/>
        <w:jc w:val="both"/>
        <w:rPr>
          <w:rFonts w:ascii="Times New Roman" w:hAnsi="Times New Roman" w:eastAsia="Times New Roman" w:cs="Times New Roman"/>
          <w:b/>
          <w:b/>
          <w:caps/>
          <w:sz w:val="24"/>
          <w:szCs w:val="24"/>
          <w:lang w:eastAsia="it-IT"/>
        </w:rPr>
      </w:pPr>
      <w:r>
        <w:rPr>
          <w:rFonts w:eastAsia="Times New Roman" w:cs="Times New Roman" w:ascii="Times New Roman" w:hAnsi="Times New Roman"/>
          <w:b/>
          <w:caps/>
          <w:sz w:val="24"/>
          <w:szCs w:val="24"/>
          <w:lang w:eastAsia="it-IT"/>
        </w:rPr>
      </w:r>
    </w:p>
    <w:p>
      <w:pPr>
        <w:pStyle w:val="Normal"/>
        <w:tabs>
          <w:tab w:val="clear" w:pos="708"/>
          <w:tab w:val="left" w:pos="227" w:leader="none"/>
        </w:tabs>
        <w:spacing w:lineRule="atLeast" w:line="210"/>
        <w:jc w:val="both"/>
        <w:rPr>
          <w:rFonts w:ascii="Times New Roman" w:hAnsi="Times New Roman" w:eastAsia="Times New Roman" w:cs="Times New Roman"/>
          <w:b/>
          <w:b/>
          <w:caps/>
          <w:sz w:val="24"/>
          <w:szCs w:val="24"/>
          <w:lang w:eastAsia="it-IT"/>
        </w:rPr>
      </w:pPr>
      <w:r>
        <w:rPr>
          <w:rFonts w:eastAsia="Times New Roman" w:cs="Times New Roman" w:ascii="Times New Roman" w:hAnsi="Times New Roman"/>
          <w:b/>
          <w:caps/>
          <w:sz w:val="24"/>
          <w:szCs w:val="24"/>
          <w:lang w:eastAsia="it-IT"/>
        </w:rPr>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Con la deliberazione n. 181 del 25.02.2019 si è provveduto ad indicare i criteri per accedere al contributo regionale da parte delle famiglie con persone affette da disturbi dello spettro autistico per le spese sostenute per gli operatori specializzati che effettuano interventi educativi/riabilitativi basati sui metodi riconosciuti dall’Istituto Superiore della Sanità, secondo quanto indicato all’art. 11 della Legge Regionale 9 ottobre 2014, n. 25 “Disposizioni in materia di disturbi dello spettro autistico”.</w:t>
      </w:r>
    </w:p>
    <w:p>
      <w:pPr>
        <w:pStyle w:val="Normal"/>
        <w:tabs>
          <w:tab w:val="clear" w:pos="708"/>
          <w:tab w:val="left" w:pos="0" w:leader="none"/>
          <w:tab w:val="left" w:pos="10065" w:leader="none"/>
        </w:tabs>
        <w:spacing w:lineRule="atLeast" w:line="210"/>
        <w:jc w:val="both"/>
        <w:rPr>
          <w:rFonts w:ascii="Times New Roman" w:hAnsi="Times New Roman" w:eastAsia="Times New Roman" w:cs="Times New Roman"/>
          <w:sz w:val="24"/>
          <w:szCs w:val="24"/>
          <w:lang w:val="pt-BR"/>
        </w:rPr>
      </w:pPr>
      <w:r>
        <w:rPr>
          <w:rFonts w:eastAsia="Times New Roman" w:cs="Times New Roman" w:ascii="Times New Roman" w:hAnsi="Times New Roman"/>
          <w:sz w:val="24"/>
          <w:szCs w:val="24"/>
        </w:rPr>
        <w:t>C</w:t>
      </w:r>
      <w:r>
        <w:rPr>
          <w:rFonts w:eastAsia="Times New Roman" w:cs="Times New Roman" w:ascii="Times New Roman" w:hAnsi="Times New Roman"/>
          <w:sz w:val="24"/>
          <w:szCs w:val="24"/>
          <w:lang w:val="pt-BR"/>
        </w:rPr>
        <w:t>on il presente atto vengono di seguito individuate le procedure amministrative da porre in essere ai fini del conseguimento del contributo regionale da parte delle famiglie con persone con disturbi dello spettro autistico.</w:t>
      </w:r>
    </w:p>
    <w:p>
      <w:pPr>
        <w:pStyle w:val="Normal"/>
        <w:spacing w:lineRule="atLeast" w:line="24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tLeast" w:line="24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r>
    </w:p>
    <w:p>
      <w:pPr>
        <w:pStyle w:val="Normal"/>
        <w:spacing w:lineRule="atLeast" w:line="240"/>
        <w:jc w:val="both"/>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Modalità di presentazione delle domande e della rendicontazione</w:t>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Entro il </w:t>
      </w:r>
      <w:r>
        <w:rPr>
          <w:rFonts w:eastAsia="Times New Roman" w:cs="Times New Roman" w:ascii="Times New Roman" w:hAnsi="Times New Roman"/>
          <w:b/>
          <w:sz w:val="24"/>
          <w:szCs w:val="24"/>
          <w:lang w:eastAsia="it-IT"/>
        </w:rPr>
        <w:t>10 maggio 2019</w:t>
      </w:r>
      <w:r>
        <w:rPr>
          <w:rFonts w:eastAsia="Times New Roman" w:cs="Times New Roman" w:ascii="Times New Roman" w:hAnsi="Times New Roman"/>
          <w:sz w:val="24"/>
          <w:szCs w:val="24"/>
          <w:lang w:eastAsia="it-IT"/>
        </w:rPr>
        <w:t xml:space="preserve"> le famiglie con persone con disturbi dello spettro autistico, in possesso dei requisiti di cui all’Allegato “A” della DGR n.181 del 25.02.2019, presentano al Comune di residenza la documentazione di seguito indicata:</w:t>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ListParagraph"/>
        <w:numPr>
          <w:ilvl w:val="0"/>
          <w:numId w:val="1"/>
        </w:numPr>
        <w:spacing w:lineRule="atLeast" w:line="240"/>
        <w:ind w:left="284" w:hanging="284"/>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domanda di contributo, utilizzando il modello di cui all’Allegato “B” del presente atto, corredata da:</w:t>
      </w:r>
    </w:p>
    <w:p>
      <w:pPr>
        <w:pStyle w:val="ListParagraph"/>
        <w:numPr>
          <w:ilvl w:val="0"/>
          <w:numId w:val="2"/>
        </w:numPr>
        <w:spacing w:lineRule="atLeast" w:line="240"/>
        <w:ind w:left="709" w:hanging="283"/>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certificazione della diagnosi di autismo effettuata da uno dei soggetti di cui all’art. 5 comma 4, lett. b), d) ed e) e comma 5, lett. b), d) ed e) della L.R. n.25/2014;</w:t>
      </w:r>
    </w:p>
    <w:p>
      <w:pPr>
        <w:pStyle w:val="ListParagraph"/>
        <w:numPr>
          <w:ilvl w:val="0"/>
          <w:numId w:val="2"/>
        </w:numPr>
        <w:spacing w:lineRule="atLeast" w:line="240"/>
        <w:ind w:left="709" w:hanging="283"/>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progetto educativo/r</w:t>
      </w:r>
      <w:bookmarkStart w:id="0" w:name="_GoBack"/>
      <w:bookmarkEnd w:id="0"/>
      <w:r>
        <w:rPr>
          <w:rFonts w:eastAsia="Times New Roman" w:cs="Times New Roman" w:ascii="Times New Roman" w:hAnsi="Times New Roman"/>
          <w:sz w:val="24"/>
          <w:szCs w:val="24"/>
          <w:lang w:eastAsia="it-IT"/>
        </w:rPr>
        <w:t>iabilitativo predisposto da uno dei soggetti di cui all’art. 5 comma 4, lett. b), d) ed e) e comma 5, lett. b), d) ed e) della L.R. n.25/2014 da cui si desume la prescrizione degli interventi;</w:t>
      </w:r>
    </w:p>
    <w:p>
      <w:pPr>
        <w:pStyle w:val="ListParagraph"/>
        <w:numPr>
          <w:ilvl w:val="0"/>
          <w:numId w:val="2"/>
        </w:numPr>
        <w:spacing w:lineRule="atLeast" w:line="240"/>
        <w:ind w:left="709" w:hanging="283"/>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dichiarazione sostitutiva di atto notorio attestante le spese sostenute nel periodo 01.04.2018/31.03.2019</w:t>
      </w:r>
      <w:r>
        <w:rPr>
          <w:rFonts w:ascii="Times New Roman" w:hAnsi="Times New Roman"/>
          <w:szCs w:val="24"/>
        </w:rPr>
        <w:t xml:space="preserve"> </w:t>
      </w:r>
      <w:r>
        <w:rPr>
          <w:rFonts w:eastAsia="Times New Roman" w:cs="Times New Roman" w:ascii="Times New Roman" w:hAnsi="Times New Roman"/>
          <w:sz w:val="24"/>
          <w:szCs w:val="24"/>
          <w:lang w:eastAsia="it-IT"/>
        </w:rPr>
        <w:t>per gli operatori specializzati che hanno effettuato interventi educativi/riabilitativi basati sui metodi riconosciuti dall’Istituto Superiore della Sanità, utilizzando il modello di cui all’allegato “C” del presente atto. Le spese devono essere state sostenute ovvero pagate e quietanzate nel suddetto periodo nonché suffragate da documentazione fiscalmente valida e intestate al beneficiario o ad un familiare.</w:t>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Entro il </w:t>
      </w:r>
      <w:r>
        <w:rPr>
          <w:rFonts w:eastAsia="Times New Roman" w:cs="Times New Roman" w:ascii="Times New Roman" w:hAnsi="Times New Roman"/>
          <w:b/>
          <w:sz w:val="24"/>
          <w:szCs w:val="24"/>
          <w:lang w:eastAsia="it-IT"/>
        </w:rPr>
        <w:t>21 maggio 2019</w:t>
      </w:r>
      <w:r>
        <w:rPr>
          <w:rFonts w:eastAsia="Times New Roman" w:cs="Times New Roman" w:ascii="Times New Roman" w:hAnsi="Times New Roman"/>
          <w:sz w:val="24"/>
          <w:szCs w:val="24"/>
          <w:lang w:eastAsia="it-IT"/>
        </w:rPr>
        <w:t xml:space="preserve"> i Comuni trasmettono agli Ambiti Territoriali Sociali le domande pervenute con relativa documentazione. </w:t>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Gli ATS a loro volta provvederanno ad inviare entro il </w:t>
      </w:r>
      <w:r>
        <w:rPr>
          <w:rFonts w:eastAsia="Times New Roman" w:cs="Times New Roman" w:ascii="Times New Roman" w:hAnsi="Times New Roman"/>
          <w:b/>
          <w:sz w:val="24"/>
          <w:szCs w:val="24"/>
          <w:lang w:eastAsia="it-IT"/>
        </w:rPr>
        <w:t>31 maggio 2019</w:t>
      </w:r>
      <w:r>
        <w:rPr>
          <w:rFonts w:eastAsia="Times New Roman" w:cs="Times New Roman" w:ascii="Times New Roman" w:hAnsi="Times New Roman"/>
          <w:sz w:val="24"/>
          <w:szCs w:val="24"/>
          <w:lang w:eastAsia="it-IT"/>
        </w:rPr>
        <w:t xml:space="preserve"> le istanze alla Regione Marche - Servizio Politiche Sociali e Sport tramite PEC all’indirizzo:</w:t>
      </w:r>
    </w:p>
    <w:p>
      <w:pPr>
        <w:pStyle w:val="Normal"/>
        <w:spacing w:lineRule="atLeast" w:line="240"/>
        <w:jc w:val="both"/>
        <w:rPr/>
      </w:pPr>
      <w:hyperlink r:id="rId2">
        <w:r>
          <w:rPr>
            <w:rStyle w:val="CollegamentoInternet"/>
            <w:rFonts w:eastAsia="Times New Roman" w:cs="Times New Roman" w:ascii="Times New Roman" w:hAnsi="Times New Roman"/>
            <w:sz w:val="24"/>
            <w:szCs w:val="24"/>
            <w:lang w:eastAsia="it-IT"/>
          </w:rPr>
          <w:t>regione.marche.politichesociali@emarche.it</w:t>
        </w:r>
      </w:hyperlink>
      <w:r>
        <w:rPr>
          <w:rStyle w:val="CollegamentoInternet"/>
          <w:rFonts w:eastAsia="Times New Roman" w:cs="Times New Roman" w:ascii="Times New Roman" w:hAnsi="Times New Roman"/>
          <w:sz w:val="24"/>
          <w:szCs w:val="24"/>
          <w:u w:val="none"/>
          <w:lang w:eastAsia="it-IT"/>
        </w:rPr>
        <w:t xml:space="preserve"> </w:t>
      </w:r>
      <w:r>
        <w:rPr>
          <w:rStyle w:val="CollegamentoInternet"/>
          <w:rFonts w:eastAsia="Times New Roman" w:cs="Times New Roman" w:ascii="Times New Roman" w:hAnsi="Times New Roman"/>
          <w:color w:val="auto"/>
          <w:sz w:val="24"/>
          <w:szCs w:val="24"/>
          <w:u w:val="none"/>
          <w:lang w:eastAsia="it-IT"/>
        </w:rPr>
        <w:t xml:space="preserve">con apposita nota in cui dovrà essere specificatamente indicato l’elenco dei richiedenti. </w:t>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tLeast" w:line="240"/>
        <w:jc w:val="both"/>
        <w:rPr/>
      </w:pPr>
      <w:r>
        <w:rPr>
          <w:rFonts w:eastAsia="Times New Roman" w:cs="Times New Roman" w:ascii="Times New Roman" w:hAnsi="Times New Roman"/>
          <w:sz w:val="24"/>
          <w:szCs w:val="24"/>
          <w:lang w:eastAsia="it-IT"/>
        </w:rPr>
        <w:t xml:space="preserve">Gli Allegati “B” e “C”, di cui al presente atto sono a disposizione sul sito della Regione Marche al seguente link </w:t>
      </w:r>
      <w:r>
        <w:fldChar w:fldCharType="begin"/>
      </w:r>
      <w:r>
        <w:rPr>
          <w:rStyle w:val="CollegamentoInternet"/>
          <w:sz w:val="24"/>
          <w:szCs w:val="24"/>
          <w:rFonts w:eastAsia="Times New Roman" w:cs="Times New Roman" w:ascii="Times New Roman" w:hAnsi="Times New Roman"/>
        </w:rPr>
        <w:instrText> HYPERLINK "http://www.regione.marche.it/Regione-Utile/Sociale/Disabilità" \l "2742_Modulistica"</w:instrText>
      </w:r>
      <w:r>
        <w:rPr>
          <w:rStyle w:val="CollegamentoInternet"/>
          <w:sz w:val="24"/>
          <w:szCs w:val="24"/>
          <w:rFonts w:eastAsia="Times New Roman" w:cs="Times New Roman" w:ascii="Times New Roman" w:hAnsi="Times New Roman"/>
        </w:rPr>
        <w:fldChar w:fldCharType="separate"/>
      </w:r>
      <w:r>
        <w:rPr>
          <w:rStyle w:val="CollegamentoInternet"/>
          <w:rFonts w:eastAsia="Times New Roman" w:cs="Times New Roman" w:ascii="Times New Roman" w:hAnsi="Times New Roman"/>
          <w:sz w:val="24"/>
          <w:szCs w:val="24"/>
          <w:lang w:eastAsia="it-IT"/>
        </w:rPr>
        <w:t>http://www.regione.marche.it/Regione-Utile/Sociale/Disabilità#2742_Modulistica</w:t>
      </w:r>
      <w:r>
        <w:rPr>
          <w:rStyle w:val="CollegamentoInternet"/>
          <w:sz w:val="24"/>
          <w:szCs w:val="24"/>
          <w:rFonts w:eastAsia="Times New Roman" w:cs="Times New Roman" w:ascii="Times New Roman" w:hAnsi="Times New Roman"/>
        </w:rPr>
        <w:fldChar w:fldCharType="end"/>
      </w:r>
      <w:r>
        <w:rPr>
          <w:rFonts w:eastAsia="Times New Roman" w:cs="Times New Roman" w:ascii="Times New Roman" w:hAnsi="Times New Roman"/>
          <w:sz w:val="24"/>
          <w:szCs w:val="24"/>
          <w:lang w:eastAsia="it-IT"/>
        </w:rPr>
        <w:t xml:space="preserve"> </w:t>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In considerazione dello stanziamento disponibile, pari ad € 248.000,00, il contributo verrà concesso, ai sensi della DGR n. 181 del 25.02.2019, a concorrenza del cento per cento dell’intero importo dichiarato quale spesa sostenuta per l’intervento e comunque non superiore al tetto di spesa ammissibile massimo per utente pari ad € 5.000,00. Qualora la spesa ammissibile complessiva fosse superiore allo stanziamento disponibile, le singole quote verranno riparametrate proporzionalmente alla disponibilità finanziaria.</w:t>
      </w:r>
    </w:p>
    <w:p>
      <w:pPr>
        <w:pStyle w:val="Normal"/>
        <w:spacing w:lineRule="atLeast" w:line="24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tLeast" w:line="240"/>
        <w:jc w:val="both"/>
        <w:rPr/>
      </w:pPr>
      <w:r>
        <w:rPr>
          <w:rFonts w:eastAsia="Times New Roman" w:cs="Times New Roman" w:ascii="Times New Roman" w:hAnsi="Times New Roman"/>
          <w:sz w:val="24"/>
          <w:szCs w:val="24"/>
          <w:lang w:eastAsia="it-IT"/>
        </w:rPr>
        <w:t>Il contributo verrà erogato agli aventi diritto, per il tramite degli enti capofila degli Ambiti Territoriali Sociali a seguito dell’istruttoria delle domande effettuata dal Servizio Politiche Sociali e Sport.</w:t>
      </w:r>
    </w:p>
    <w:sectPr>
      <w:headerReference w:type="default" r:id="rId3"/>
      <w:type w:val="nextPage"/>
      <w:pgSz w:w="11906" w:h="16838"/>
      <w:pgMar w:left="1134" w:right="1134" w:header="708" w:top="1447" w:footer="720" w:bottom="127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roman"/>
    <w:pitch w:val="variable"/>
  </w:font>
  <w:font w:name="Helvetica">
    <w:altName w:val="Arial"/>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lear" w:pos="4819"/>
        <w:tab w:val="clear" w:pos="9638"/>
        <w:tab w:val="left" w:pos="3556" w:leader="none"/>
      </w:tabs>
      <w:rPr/>
    </w:pPr>
    <w:r>
      <w:rPr/>
      <w:drawing>
        <wp:inline distT="0" distB="0" distL="0" distR="0">
          <wp:extent cx="1388110" cy="503555"/>
          <wp:effectExtent l="0" t="0" r="0" b="0"/>
          <wp:docPr id="3" name="Immagin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1" descr=""/>
                  <pic:cNvPicPr>
                    <a:picLocks noChangeAspect="1" noChangeArrowheads="1"/>
                  </pic:cNvPicPr>
                </pic:nvPicPr>
                <pic:blipFill>
                  <a:blip r:embed="rId1"/>
                  <a:stretch>
                    <a:fillRect/>
                  </a:stretch>
                </pic:blipFill>
                <pic:spPr bwMode="auto">
                  <a:xfrm>
                    <a:off x="0" y="0"/>
                    <a:ext cx="1388110" cy="503555"/>
                  </a:xfrm>
                  <a:prstGeom prst="rect">
                    <a:avLst/>
                  </a:prstGeom>
                </pic:spPr>
              </pic:pic>
            </a:graphicData>
          </a:graphic>
        </wp:inline>
      </w:drawing>
      <mc:AlternateContent>
        <mc:Choice Requires="wps">
          <w:drawing>
            <wp:anchor behindDoc="1" distT="0" distB="0" distL="89535" distR="89535" simplePos="0" locked="0" layoutInCell="1" allowOverlap="1" relativeHeight="3">
              <wp:simplePos x="0" y="0"/>
              <wp:positionH relativeFrom="page">
                <wp:posOffset>1548765</wp:posOffset>
              </wp:positionH>
              <wp:positionV relativeFrom="page">
                <wp:posOffset>384175</wp:posOffset>
              </wp:positionV>
              <wp:extent cx="15240" cy="170180"/>
              <wp:effectExtent l="0" t="0" r="0" b="0"/>
              <wp:wrapSquare wrapText="largest"/>
              <wp:docPr id="1" name="Cornice1"/>
              <a:graphic xmlns:a="http://schemas.openxmlformats.org/drawingml/2006/main">
                <a:graphicData uri="http://schemas.microsoft.com/office/word/2010/wordprocessingShape">
                  <wps:wsp>
                    <wps:cNvSpPr/>
                    <wps:spPr>
                      <a:xfrm>
                        <a:off x="0" y="0"/>
                        <a:ext cx="14760" cy="169560"/>
                      </a:xfrm>
                      <a:prstGeom prst="rect">
                        <a:avLst/>
                      </a:prstGeom>
                      <a:noFill/>
                      <a:ln>
                        <a:noFill/>
                      </a:ln>
                    </wps:spPr>
                    <wps:style>
                      <a:lnRef idx="0"/>
                      <a:fillRef idx="0"/>
                      <a:effectRef idx="0"/>
                      <a:fontRef idx="minor"/>
                    </wps:style>
                    <wps:txbx>
                      <w:txbxContent>
                        <w:p>
                          <w:pPr>
                            <w:pStyle w:val="Normal"/>
                            <w:rPr>
                              <w:color w:val="auto"/>
                            </w:rPr>
                          </w:pPr>
                          <w:r>
                            <w:rPr>
                              <w:color w:val="auto"/>
                            </w:rPr>
                          </w:r>
                        </w:p>
                      </w:txbxContent>
                    </wps:txbx>
                    <wps:bodyPr lIns="0" rIns="0" tIns="0" bIns="0">
                      <a:spAutoFit/>
                    </wps:bodyPr>
                  </wps:wsp>
                </a:graphicData>
              </a:graphic>
            </wp:anchor>
          </w:drawing>
        </mc:Choice>
        <mc:Fallback>
          <w:pict>
            <v:rect id="shape_0" ID="Cornice1" fillcolor="white" stroked="f" style="position:absolute;margin-left:121.95pt;margin-top:30.25pt;width:1.1pt;height:13.3pt;mso-position-horizontal-relative:page;mso-position-vertical-relative:page">
              <w10:wrap type="none"/>
              <v:fill o:detectmouseclick="t" type="solid" color2="black" opacity="0"/>
              <v:stroke color="#3465a4" joinstyle="round" endcap="flat"/>
              <v:textbox>
                <w:txbxContent>
                  <w:p>
                    <w:pPr>
                      <w:pStyle w:val="Normal"/>
                      <w:rPr>
                        <w:color w:val="auto"/>
                      </w:rPr>
                    </w:pPr>
                    <w:r>
                      <w:rPr>
                        <w:color w:val="auto"/>
                      </w:rPr>
                    </w:r>
                  </w:p>
                </w:txbxContent>
              </v:textbox>
            </v:rect>
          </w:pict>
        </mc:Fallback>
      </mc:AlternateContent>
    </w:r>
  </w:p>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1066" w:hanging="360"/>
      </w:pPr>
      <w:rPr>
        <w:rFonts w:ascii="Symbol" w:hAnsi="Symbol" w:cs="Symbol" w:hint="default"/>
        <w:sz w:val="24"/>
        <w:rFonts w:cs="Symbol"/>
      </w:rPr>
    </w:lvl>
    <w:lvl w:ilvl="1">
      <w:start w:val="1"/>
      <w:numFmt w:val="bullet"/>
      <w:lvlText w:val="o"/>
      <w:lvlJc w:val="left"/>
      <w:pPr>
        <w:ind w:left="1786" w:hanging="360"/>
      </w:pPr>
      <w:rPr>
        <w:rFonts w:ascii="Courier New" w:hAnsi="Courier New" w:cs="Courier New" w:hint="default"/>
        <w:rFonts w:cs="Courier New"/>
      </w:rPr>
    </w:lvl>
    <w:lvl w:ilvl="2">
      <w:start w:val="1"/>
      <w:numFmt w:val="bullet"/>
      <w:lvlText w:val=""/>
      <w:lvlJc w:val="left"/>
      <w:pPr>
        <w:ind w:left="2506" w:hanging="360"/>
      </w:pPr>
      <w:rPr>
        <w:rFonts w:ascii="Wingdings" w:hAnsi="Wingdings" w:cs="Wingdings" w:hint="default"/>
        <w:rFonts w:cs="Wingdings"/>
      </w:rPr>
    </w:lvl>
    <w:lvl w:ilvl="3">
      <w:start w:val="1"/>
      <w:numFmt w:val="bullet"/>
      <w:lvlText w:val=""/>
      <w:lvlJc w:val="left"/>
      <w:pPr>
        <w:ind w:left="3226" w:hanging="360"/>
      </w:pPr>
      <w:rPr>
        <w:rFonts w:ascii="Symbol" w:hAnsi="Symbol" w:cs="Symbol" w:hint="default"/>
        <w:rFonts w:cs="Symbol"/>
      </w:rPr>
    </w:lvl>
    <w:lvl w:ilvl="4">
      <w:start w:val="1"/>
      <w:numFmt w:val="bullet"/>
      <w:lvlText w:val="o"/>
      <w:lvlJc w:val="left"/>
      <w:pPr>
        <w:ind w:left="3946" w:hanging="360"/>
      </w:pPr>
      <w:rPr>
        <w:rFonts w:ascii="Courier New" w:hAnsi="Courier New" w:cs="Courier New" w:hint="default"/>
        <w:rFonts w:cs="Courier New"/>
      </w:rPr>
    </w:lvl>
    <w:lvl w:ilvl="5">
      <w:start w:val="1"/>
      <w:numFmt w:val="bullet"/>
      <w:lvlText w:val=""/>
      <w:lvlJc w:val="left"/>
      <w:pPr>
        <w:ind w:left="4666" w:hanging="360"/>
      </w:pPr>
      <w:rPr>
        <w:rFonts w:ascii="Wingdings" w:hAnsi="Wingdings" w:cs="Wingdings" w:hint="default"/>
        <w:rFonts w:cs="Wingdings"/>
      </w:rPr>
    </w:lvl>
    <w:lvl w:ilvl="6">
      <w:start w:val="1"/>
      <w:numFmt w:val="bullet"/>
      <w:lvlText w:val=""/>
      <w:lvlJc w:val="left"/>
      <w:pPr>
        <w:ind w:left="5386" w:hanging="360"/>
      </w:pPr>
      <w:rPr>
        <w:rFonts w:ascii="Symbol" w:hAnsi="Symbol" w:cs="Symbol" w:hint="default"/>
        <w:rFonts w:cs="Symbol"/>
      </w:rPr>
    </w:lvl>
    <w:lvl w:ilvl="7">
      <w:start w:val="1"/>
      <w:numFmt w:val="bullet"/>
      <w:lvlText w:val="o"/>
      <w:lvlJc w:val="left"/>
      <w:pPr>
        <w:ind w:left="6106" w:hanging="360"/>
      </w:pPr>
      <w:rPr>
        <w:rFonts w:ascii="Courier New" w:hAnsi="Courier New" w:cs="Courier New" w:hint="default"/>
        <w:rFonts w:cs="Courier New"/>
      </w:rPr>
    </w:lvl>
    <w:lvl w:ilvl="8">
      <w:start w:val="1"/>
      <w:numFmt w:val="bullet"/>
      <w:lvlText w:val=""/>
      <w:lvlJc w:val="left"/>
      <w:pPr>
        <w:ind w:left="6826"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1124f"/>
    <w:pPr>
      <w:widowControl/>
      <w:bidi w:val="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2">
    <w:name w:val="Heading 2"/>
    <w:basedOn w:val="Normal"/>
    <w:next w:val="Normal"/>
    <w:link w:val="Titolo2Carattere"/>
    <w:uiPriority w:val="9"/>
    <w:semiHidden/>
    <w:unhideWhenUsed/>
    <w:qFormat/>
    <w:rsid w:val="00623d96"/>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Titolo2Carattere" w:customStyle="1">
    <w:name w:val="Titolo 2 Carattere"/>
    <w:basedOn w:val="DefaultParagraphFont"/>
    <w:link w:val="Titolo2"/>
    <w:uiPriority w:val="9"/>
    <w:semiHidden/>
    <w:qFormat/>
    <w:rsid w:val="00623d96"/>
    <w:rPr>
      <w:rFonts w:ascii="Cambria" w:hAnsi="Cambria" w:eastAsia="" w:cs="" w:asciiTheme="majorHAnsi" w:cstheme="majorBidi" w:eastAsiaTheme="majorEastAsia" w:hAnsiTheme="majorHAnsi"/>
      <w:b/>
      <w:bCs/>
      <w:color w:val="4F81BD" w:themeColor="accent1"/>
      <w:sz w:val="26"/>
      <w:szCs w:val="26"/>
    </w:rPr>
  </w:style>
  <w:style w:type="character" w:styleId="TestofumettoCarattere" w:customStyle="1">
    <w:name w:val="Testo fumetto Carattere"/>
    <w:basedOn w:val="DefaultParagraphFont"/>
    <w:link w:val="Testofumetto"/>
    <w:uiPriority w:val="99"/>
    <w:semiHidden/>
    <w:qFormat/>
    <w:rsid w:val="00623d96"/>
    <w:rPr>
      <w:rFonts w:ascii="Tahoma" w:hAnsi="Tahoma" w:cs="Tahoma"/>
      <w:sz w:val="16"/>
      <w:szCs w:val="16"/>
    </w:rPr>
  </w:style>
  <w:style w:type="character" w:styleId="IntestazioneCarattere" w:customStyle="1">
    <w:name w:val="Intestazione Carattere"/>
    <w:basedOn w:val="DefaultParagraphFont"/>
    <w:link w:val="Intestazione"/>
    <w:uiPriority w:val="99"/>
    <w:qFormat/>
    <w:rsid w:val="00623d96"/>
    <w:rPr/>
  </w:style>
  <w:style w:type="character" w:styleId="PidipaginaCarattere" w:customStyle="1">
    <w:name w:val="Piè di pagina Carattere"/>
    <w:basedOn w:val="DefaultParagraphFont"/>
    <w:link w:val="Pidipagina"/>
    <w:uiPriority w:val="99"/>
    <w:qFormat/>
    <w:rsid w:val="00623d96"/>
    <w:rPr/>
  </w:style>
  <w:style w:type="character" w:styleId="Pagenumber">
    <w:name w:val="page number"/>
    <w:basedOn w:val="DefaultParagraphFont"/>
    <w:uiPriority w:val="99"/>
    <w:qFormat/>
    <w:rsid w:val="00d0685e"/>
    <w:rPr/>
  </w:style>
  <w:style w:type="character" w:styleId="TipoimpegnoCarattere" w:customStyle="1">
    <w:name w:val="tipo impegno Carattere"/>
    <w:basedOn w:val="DefaultParagraphFont"/>
    <w:link w:val="tipoimpegno"/>
    <w:qFormat/>
    <w:rsid w:val="0071124f"/>
    <w:rPr>
      <w:rFonts w:ascii="Arial" w:hAnsi="Arial" w:cs="Arial"/>
      <w:i/>
      <w:sz w:val="24"/>
      <w:szCs w:val="24"/>
    </w:rPr>
  </w:style>
  <w:style w:type="character" w:styleId="FirmaCarattere" w:customStyle="1">
    <w:name w:val="firma Carattere"/>
    <w:basedOn w:val="DefaultParagraphFont"/>
    <w:link w:val="firma"/>
    <w:qFormat/>
    <w:rsid w:val="00c0139b"/>
    <w:rPr>
      <w:rFonts w:ascii="Arial" w:hAnsi="Arial" w:cs="Arial"/>
      <w:sz w:val="24"/>
      <w:szCs w:val="24"/>
    </w:rPr>
  </w:style>
  <w:style w:type="character" w:styleId="CorpotestoCarattere" w:customStyle="1">
    <w:name w:val="Corpo testo Carattere"/>
    <w:basedOn w:val="DefaultParagraphFont"/>
    <w:link w:val="Corpotesto"/>
    <w:uiPriority w:val="99"/>
    <w:semiHidden/>
    <w:qFormat/>
    <w:rsid w:val="001e69a9"/>
    <w:rPr/>
  </w:style>
  <w:style w:type="character" w:styleId="CollegamentoInternet">
    <w:name w:val="Collegamento Internet"/>
    <w:basedOn w:val="DefaultParagraphFont"/>
    <w:uiPriority w:val="99"/>
    <w:unhideWhenUsed/>
    <w:rsid w:val="00b139ab"/>
    <w:rPr>
      <w:color w:val="0000FF" w:themeColor="hyperlink"/>
      <w:u w:val="single"/>
    </w:rPr>
  </w:style>
  <w:style w:type="character" w:styleId="ListLabel1">
    <w:name w:val="ListLabel 1"/>
    <w:qFormat/>
    <w:rPr>
      <w:rFonts w:eastAsia="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ascii="Times New Roman" w:hAnsi="Times New Roman" w:eastAsia="Times New Roman" w:cs="Times New Roman"/>
      <w:sz w:val="24"/>
      <w:szCs w:val="24"/>
      <w:lang w:eastAsia="it-IT"/>
    </w:rPr>
  </w:style>
  <w:style w:type="character" w:styleId="ListLabel15">
    <w:name w:val="ListLabel 15"/>
    <w:qFormat/>
    <w:rPr>
      <w:rFonts w:ascii="Times New Roman" w:hAnsi="Times New Roman" w:cs="Symbol"/>
      <w:sz w:val="24"/>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rFonts w:cs="Symbol"/>
    </w:rPr>
  </w:style>
  <w:style w:type="character" w:styleId="ListLabel19">
    <w:name w:val="ListLabel 19"/>
    <w:qFormat/>
    <w:rPr>
      <w:rFonts w:cs="Courier New"/>
    </w:rPr>
  </w:style>
  <w:style w:type="character" w:styleId="ListLabel20">
    <w:name w:val="ListLabel 20"/>
    <w:qFormat/>
    <w:rPr>
      <w:rFonts w:cs="Wingdings"/>
    </w:rPr>
  </w:style>
  <w:style w:type="character" w:styleId="ListLabel21">
    <w:name w:val="ListLabel 21"/>
    <w:qFormat/>
    <w:rPr>
      <w:rFonts w:cs="Symbol"/>
    </w:rPr>
  </w:style>
  <w:style w:type="character" w:styleId="ListLabel22">
    <w:name w:val="ListLabel 22"/>
    <w:qFormat/>
    <w:rPr>
      <w:rFonts w:cs="Courier New"/>
    </w:rPr>
  </w:style>
  <w:style w:type="character" w:styleId="ListLabel23">
    <w:name w:val="ListLabel 23"/>
    <w:qFormat/>
    <w:rPr>
      <w:rFonts w:cs="Wingdings"/>
    </w:rPr>
  </w:style>
  <w:style w:type="character" w:styleId="ListLabel24">
    <w:name w:val="ListLabel 24"/>
    <w:qFormat/>
    <w:rPr>
      <w:rFonts w:ascii="Times New Roman" w:hAnsi="Times New Roman" w:eastAsia="Times New Roman" w:cs="Times New Roman"/>
      <w:sz w:val="24"/>
      <w:szCs w:val="24"/>
      <w:lang w:eastAsia="it-I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99"/>
    <w:semiHidden/>
    <w:unhideWhenUsed/>
    <w:rsid w:val="001e69a9"/>
    <w:pPr>
      <w:spacing w:before="0" w:after="12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4" w:customStyle="1">
    <w:name w:val="titolo4"/>
    <w:basedOn w:val="Titolo2"/>
    <w:uiPriority w:val="99"/>
    <w:qFormat/>
    <w:rsid w:val="00623d96"/>
    <w:pPr>
      <w:keepNext w:val="false"/>
      <w:keepLines w:val="false"/>
      <w:widowControl w:val="false"/>
      <w:spacing w:before="0" w:after="0"/>
      <w:jc w:val="center"/>
    </w:pPr>
    <w:rPr>
      <w:rFonts w:ascii="Arial" w:hAnsi="Arial" w:eastAsia="Times New Roman" w:cs="Arial"/>
      <w:color w:val="auto"/>
      <w:sz w:val="22"/>
      <w:szCs w:val="22"/>
    </w:rPr>
  </w:style>
  <w:style w:type="paragraph" w:styleId="BalloonText">
    <w:name w:val="Balloon Text"/>
    <w:basedOn w:val="Normal"/>
    <w:link w:val="TestofumettoCarattere"/>
    <w:uiPriority w:val="99"/>
    <w:semiHidden/>
    <w:unhideWhenUsed/>
    <w:qFormat/>
    <w:rsid w:val="00623d96"/>
    <w:pPr/>
    <w:rPr>
      <w:rFonts w:ascii="Tahoma" w:hAnsi="Tahoma" w:cs="Tahoma"/>
      <w:sz w:val="16"/>
      <w:szCs w:val="16"/>
    </w:rPr>
  </w:style>
  <w:style w:type="paragraph" w:styleId="Intestazione">
    <w:name w:val="Header"/>
    <w:basedOn w:val="Normal"/>
    <w:link w:val="IntestazioneCarattere"/>
    <w:uiPriority w:val="99"/>
    <w:unhideWhenUsed/>
    <w:rsid w:val="00623d96"/>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623d96"/>
    <w:pPr>
      <w:tabs>
        <w:tab w:val="clear" w:pos="708"/>
        <w:tab w:val="center" w:pos="4819" w:leader="none"/>
        <w:tab w:val="right" w:pos="9638" w:leader="none"/>
      </w:tabs>
    </w:pPr>
    <w:rPr/>
  </w:style>
  <w:style w:type="paragraph" w:styleId="ListParagraph">
    <w:name w:val="List Paragraph"/>
    <w:basedOn w:val="Normal"/>
    <w:uiPriority w:val="34"/>
    <w:qFormat/>
    <w:rsid w:val="0042499b"/>
    <w:pPr>
      <w:spacing w:before="0" w:after="0"/>
      <w:ind w:left="720" w:hanging="0"/>
      <w:contextualSpacing/>
    </w:pPr>
    <w:rPr/>
  </w:style>
  <w:style w:type="paragraph" w:styleId="Tipoimpegno" w:customStyle="1">
    <w:name w:val="tipo impegno"/>
    <w:basedOn w:val="Normal"/>
    <w:link w:val="tipoimpegnoCarattere"/>
    <w:qFormat/>
    <w:rsid w:val="0071124f"/>
    <w:pPr/>
    <w:rPr>
      <w:rFonts w:ascii="Arial" w:hAnsi="Arial" w:cs="Arial"/>
      <w:i/>
      <w:sz w:val="24"/>
      <w:szCs w:val="24"/>
    </w:rPr>
  </w:style>
  <w:style w:type="paragraph" w:styleId="Firma" w:customStyle="1">
    <w:name w:val="firma"/>
    <w:basedOn w:val="Normal"/>
    <w:link w:val="firmaCarattere"/>
    <w:qFormat/>
    <w:rsid w:val="00c0139b"/>
    <w:pPr>
      <w:tabs>
        <w:tab w:val="clear" w:pos="708"/>
        <w:tab w:val="center" w:pos="7371" w:leader="none"/>
      </w:tabs>
      <w:ind w:left="3119" w:hanging="0"/>
      <w:jc w:val="center"/>
    </w:pPr>
    <w:rPr>
      <w:rFonts w:ascii="Arial" w:hAnsi="Arial" w:cs="Arial"/>
      <w:sz w:val="24"/>
      <w:szCs w:val="24"/>
    </w:rPr>
  </w:style>
  <w:style w:type="paragraph" w:styleId="Rsporgente" w:customStyle="1">
    <w:name w:val="r. sporgente"/>
    <w:basedOn w:val="Corpodeltesto"/>
    <w:uiPriority w:val="99"/>
    <w:qFormat/>
    <w:rsid w:val="001e69a9"/>
    <w:pPr>
      <w:tabs>
        <w:tab w:val="clear" w:pos="708"/>
        <w:tab w:val="left" w:pos="227" w:leader="none"/>
      </w:tabs>
      <w:spacing w:lineRule="atLeast" w:line="210" w:before="0" w:after="0"/>
      <w:ind w:left="227" w:hanging="227"/>
      <w:jc w:val="both"/>
    </w:pPr>
    <w:rPr>
      <w:rFonts w:ascii="Helvetica" w:hAnsi="Helvetica" w:eastAsia="Times New Roman" w:cs="Helvetica"/>
      <w:sz w:val="19"/>
      <w:szCs w:val="19"/>
      <w:lang w:eastAsia="it-IT"/>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gione.marche.politichesociali@emarche.it"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Application>LibreOffice/6.2.0.3$Windows_X86_64 LibreOffice_project/98c6a8a1c6c7b144ce3cc729e34964b47ce25d62</Application>
  <Pages>2</Pages>
  <Words>518</Words>
  <Characters>3111</Characters>
  <CharactersWithSpaces>3626</CharactersWithSpaces>
  <Paragraphs>17</Paragraphs>
  <Company>LAMBDA SRL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2019-01-21T12:17:00Z</dcterms:created>
  <dc:creator>marco</dc:creator>
  <dc:description/>
  <dc:language>it-IT</dc:language>
  <cp:lastModifiedBy/>
  <cp:lastPrinted>2019-03-08T10:29:29Z</cp:lastPrinted>
  <dcterms:modified xsi:type="dcterms:W3CDTF">2019-03-08T10:31:04Z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LAMBDA SRL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